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55B910B" w14:textId="77777777" w:rsidR="00E23546" w:rsidRPr="00B650B5" w:rsidRDefault="00E23546" w:rsidP="00B650B5">
      <w:pPr>
        <w:spacing w:after="0" w:line="240" w:lineRule="auto"/>
        <w:ind w:firstLine="11482"/>
        <w:rPr>
          <w:rFonts w:ascii="Times New Roman" w:eastAsia="Times New Roman" w:hAnsi="Times New Roman" w:cs="Times New Roman"/>
          <w:lang w:eastAsia="pl-PL"/>
        </w:rPr>
      </w:pPr>
      <w:bookmarkStart w:id="0" w:name="_Toc489016121"/>
      <w:r w:rsidRPr="00B650B5">
        <w:rPr>
          <w:rFonts w:ascii="Times New Roman" w:eastAsia="Times New Roman" w:hAnsi="Times New Roman" w:cs="Times New Roman"/>
          <w:lang w:eastAsia="pl-PL"/>
        </w:rPr>
        <w:t>Załącznik nr 5</w:t>
      </w:r>
    </w:p>
    <w:p w14:paraId="04D84BB6" w14:textId="5BFB9676" w:rsidR="00E23546" w:rsidRPr="00B650B5" w:rsidRDefault="00E23546" w:rsidP="00B650B5">
      <w:pPr>
        <w:spacing w:after="0" w:line="240" w:lineRule="auto"/>
        <w:ind w:firstLine="11482"/>
        <w:rPr>
          <w:rFonts w:ascii="Times New Roman" w:eastAsia="Times New Roman" w:hAnsi="Times New Roman" w:cs="Times New Roman"/>
          <w:lang w:eastAsia="pl-PL"/>
        </w:rPr>
      </w:pPr>
      <w:r w:rsidRPr="00B650B5">
        <w:rPr>
          <w:rFonts w:ascii="Times New Roman" w:eastAsia="Times New Roman" w:hAnsi="Times New Roman" w:cs="Times New Roman"/>
          <w:lang w:eastAsia="pl-PL"/>
        </w:rPr>
        <w:t>do uchwały nr 1</w:t>
      </w:r>
      <w:r w:rsidR="00160FFF" w:rsidRPr="00B650B5">
        <w:rPr>
          <w:rFonts w:ascii="Times New Roman" w:eastAsia="Times New Roman" w:hAnsi="Times New Roman" w:cs="Times New Roman"/>
          <w:lang w:eastAsia="pl-PL"/>
        </w:rPr>
        <w:t>45</w:t>
      </w:r>
      <w:r w:rsidRPr="00B650B5">
        <w:rPr>
          <w:rFonts w:ascii="Times New Roman" w:eastAsia="Times New Roman" w:hAnsi="Times New Roman" w:cs="Times New Roman"/>
          <w:lang w:eastAsia="pl-PL"/>
        </w:rPr>
        <w:t>/</w:t>
      </w:r>
      <w:r w:rsidR="00160FFF" w:rsidRPr="00B650B5">
        <w:rPr>
          <w:rFonts w:ascii="Times New Roman" w:eastAsia="Times New Roman" w:hAnsi="Times New Roman" w:cs="Times New Roman"/>
          <w:lang w:eastAsia="pl-PL"/>
        </w:rPr>
        <w:t>10</w:t>
      </w:r>
      <w:r w:rsidRPr="00B650B5">
        <w:rPr>
          <w:rFonts w:ascii="Times New Roman" w:eastAsia="Times New Roman" w:hAnsi="Times New Roman" w:cs="Times New Roman"/>
          <w:lang w:eastAsia="pl-PL"/>
        </w:rPr>
        <w:t>/2022</w:t>
      </w:r>
    </w:p>
    <w:p w14:paraId="78DD4122" w14:textId="77777777" w:rsidR="00E23546" w:rsidRPr="00B650B5" w:rsidRDefault="00E23546" w:rsidP="00B650B5">
      <w:pPr>
        <w:spacing w:after="0" w:line="240" w:lineRule="auto"/>
        <w:ind w:firstLine="11482"/>
        <w:rPr>
          <w:rFonts w:ascii="Times New Roman" w:eastAsia="Times New Roman" w:hAnsi="Times New Roman" w:cs="Times New Roman"/>
          <w:lang w:eastAsia="pl-PL"/>
        </w:rPr>
      </w:pPr>
      <w:r w:rsidRPr="00B650B5">
        <w:rPr>
          <w:rFonts w:ascii="Times New Roman" w:eastAsia="Times New Roman" w:hAnsi="Times New Roman" w:cs="Times New Roman"/>
          <w:lang w:eastAsia="pl-PL"/>
        </w:rPr>
        <w:t>Komisji Egzaminacyjnej</w:t>
      </w:r>
    </w:p>
    <w:p w14:paraId="5B18A225" w14:textId="4E93A795" w:rsidR="00E23546" w:rsidRPr="00B650B5" w:rsidRDefault="00E23546" w:rsidP="00B650B5">
      <w:pPr>
        <w:spacing w:after="0" w:line="240" w:lineRule="auto"/>
        <w:ind w:firstLine="11482"/>
        <w:rPr>
          <w:rFonts w:ascii="Times New Roman" w:eastAsia="Times New Roman" w:hAnsi="Times New Roman" w:cs="Times New Roman"/>
          <w:lang w:eastAsia="pl-PL"/>
        </w:rPr>
      </w:pPr>
      <w:r w:rsidRPr="00B650B5">
        <w:rPr>
          <w:rFonts w:ascii="Times New Roman" w:eastAsia="Times New Roman" w:hAnsi="Times New Roman" w:cs="Times New Roman"/>
          <w:lang w:eastAsia="pl-PL"/>
        </w:rPr>
        <w:t>z dnia 2</w:t>
      </w:r>
      <w:r w:rsidR="00160FFF" w:rsidRPr="00B650B5">
        <w:rPr>
          <w:rFonts w:ascii="Times New Roman" w:eastAsia="Times New Roman" w:hAnsi="Times New Roman" w:cs="Times New Roman"/>
          <w:lang w:eastAsia="pl-PL"/>
        </w:rPr>
        <w:t xml:space="preserve">1 października </w:t>
      </w:r>
      <w:r w:rsidRPr="00B650B5">
        <w:rPr>
          <w:rFonts w:ascii="Times New Roman" w:eastAsia="Times New Roman" w:hAnsi="Times New Roman" w:cs="Times New Roman"/>
          <w:lang w:eastAsia="pl-PL"/>
        </w:rPr>
        <w:t>2022 r.</w:t>
      </w:r>
    </w:p>
    <w:bookmarkEnd w:id="0"/>
    <w:p w14:paraId="5B115BC0" w14:textId="77777777" w:rsidR="00E23546" w:rsidRPr="0047045D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6"/>
          <w:szCs w:val="24"/>
          <w:lang w:eastAsia="pl-PL"/>
        </w:rPr>
      </w:pPr>
    </w:p>
    <w:p w14:paraId="615492DB" w14:textId="77777777" w:rsidR="00E23546" w:rsidRPr="000825DE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0825DE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Matryca (do wniosku TYPU A) </w:t>
      </w:r>
    </w:p>
    <w:p w14:paraId="4887764E" w14:textId="77777777" w:rsidR="00B650B5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50B5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adekwatności zrealizowanego programu przez kandydata z zakresem wiedzy wymaganym przez Komisję Egzaminacyjną </w:t>
      </w:r>
    </w:p>
    <w:p w14:paraId="0492C510" w14:textId="0FD267BB" w:rsidR="00E23546" w:rsidRPr="00B650B5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650B5">
        <w:rPr>
          <w:rFonts w:ascii="Times New Roman" w:eastAsia="Times New Roman" w:hAnsi="Times New Roman" w:cs="Times New Roman"/>
          <w:sz w:val="24"/>
          <w:szCs w:val="24"/>
          <w:lang w:eastAsia="pl-PL"/>
        </w:rPr>
        <w:t>w postępowaniu kwalifikacyjnym</w:t>
      </w:r>
      <w:r w:rsidRPr="00B650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D9EA0B3" w14:textId="10D7E14E" w:rsidR="0098522D" w:rsidRDefault="00E23546" w:rsidP="00E23546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szCs w:val="24"/>
          <w:lang w:eastAsia="pl-PL"/>
        </w:rPr>
      </w:pPr>
      <w:r w:rsidRPr="00B650B5"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(na podstawie: Uchwały Nr 1273/30/2017 Krajowej Rady Biegłych Rewidentów z dnia 5 września 2017 r. w sprawie szczegółowego zakresu tematycznego egzaminów w </w:t>
      </w:r>
      <w:r w:rsidR="00B650B5">
        <w:rPr>
          <w:rFonts w:ascii="Times New Roman" w:eastAsia="Times New Roman" w:hAnsi="Times New Roman" w:cs="Times New Roman"/>
          <w:i/>
          <w:szCs w:val="24"/>
          <w:lang w:eastAsia="pl-PL"/>
        </w:rPr>
        <w:t> p</w:t>
      </w:r>
      <w:r w:rsidRPr="00B650B5">
        <w:rPr>
          <w:rFonts w:ascii="Times New Roman" w:eastAsia="Times New Roman" w:hAnsi="Times New Roman" w:cs="Times New Roman"/>
          <w:i/>
          <w:szCs w:val="24"/>
          <w:lang w:eastAsia="pl-PL"/>
        </w:rPr>
        <w:t>ostępowaniu kwalifikacyjnym na biegłych rewidentów</w:t>
      </w:r>
      <w:r w:rsidR="00473D76" w:rsidRPr="00B650B5">
        <w:rPr>
          <w:rFonts w:ascii="Times New Roman" w:eastAsia="Times New Roman" w:hAnsi="Times New Roman" w:cs="Times New Roman"/>
          <w:i/>
          <w:szCs w:val="24"/>
          <w:lang w:eastAsia="pl-PL"/>
        </w:rPr>
        <w:t xml:space="preserve"> </w:t>
      </w:r>
      <w:r w:rsidR="00473D76" w:rsidRPr="00B650B5">
        <w:rPr>
          <w:rFonts w:ascii="Times New Roman" w:hAnsi="Times New Roman" w:cs="Times New Roman"/>
          <w:bCs/>
          <w:i/>
          <w:szCs w:val="24"/>
        </w:rPr>
        <w:t>zmienion</w:t>
      </w:r>
      <w:r w:rsidR="00F26BF6" w:rsidRPr="00B650B5">
        <w:rPr>
          <w:rFonts w:ascii="Times New Roman" w:hAnsi="Times New Roman" w:cs="Times New Roman"/>
          <w:bCs/>
          <w:i/>
          <w:szCs w:val="24"/>
        </w:rPr>
        <w:t>ej</w:t>
      </w:r>
      <w:r w:rsidR="00473D76" w:rsidRPr="00B650B5">
        <w:rPr>
          <w:rFonts w:ascii="Times New Roman" w:hAnsi="Times New Roman" w:cs="Times New Roman"/>
          <w:bCs/>
          <w:i/>
          <w:szCs w:val="24"/>
        </w:rPr>
        <w:t xml:space="preserve"> uchwałą Nr 2336/42/2022 Krajowej Rady Biegłych Rewidentów z dnia  30 sierpnia 2022 r. w</w:t>
      </w:r>
      <w:r w:rsidR="00B650B5">
        <w:rPr>
          <w:rFonts w:ascii="Times New Roman" w:hAnsi="Times New Roman" w:cs="Times New Roman"/>
          <w:bCs/>
          <w:i/>
          <w:szCs w:val="24"/>
        </w:rPr>
        <w:t> </w:t>
      </w:r>
      <w:r w:rsidR="00473D76" w:rsidRPr="00F26BF6">
        <w:rPr>
          <w:rFonts w:ascii="Times New Roman" w:hAnsi="Times New Roman" w:cs="Times New Roman"/>
          <w:bCs/>
          <w:szCs w:val="24"/>
        </w:rPr>
        <w:t>przedmiocie zmiany uchwały w sprawie szczegółowego zakresu tematycznego egzaminów w postępowaniu kwalifikacyjnym na biegłych rewidentów</w:t>
      </w:r>
      <w:r w:rsidRPr="00F26BF6">
        <w:rPr>
          <w:rFonts w:ascii="Times New Roman" w:eastAsia="Times New Roman" w:hAnsi="Times New Roman" w:cs="Times New Roman"/>
          <w:szCs w:val="24"/>
          <w:lang w:eastAsia="pl-PL"/>
        </w:rPr>
        <w:t xml:space="preserve">) </w:t>
      </w:r>
    </w:p>
    <w:p w14:paraId="6DBA21C3" w14:textId="77777777" w:rsidR="00863BA3" w:rsidRPr="00863BA3" w:rsidRDefault="00863BA3" w:rsidP="00863BA3">
      <w:pPr>
        <w:pStyle w:val="Akapitzlist"/>
        <w:spacing w:after="0" w:line="240" w:lineRule="auto"/>
        <w:ind w:left="0"/>
        <w:jc w:val="center"/>
        <w:outlineLvl w:val="0"/>
        <w:rPr>
          <w:rFonts w:ascii="Times New Roman" w:hAnsi="Times New Roman" w:cs="Times New Roman"/>
          <w:b/>
          <w:sz w:val="16"/>
          <w:szCs w:val="16"/>
        </w:rPr>
      </w:pPr>
      <w:bookmarkStart w:id="1" w:name="_Toc492541675"/>
    </w:p>
    <w:p w14:paraId="129BE2F8" w14:textId="629F98CC" w:rsidR="00863BA3" w:rsidRDefault="00863BA3" w:rsidP="00863BA3">
      <w:pPr>
        <w:pStyle w:val="Akapitzlist"/>
        <w:spacing w:after="0" w:line="240" w:lineRule="auto"/>
        <w:ind w:left="0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Prawo – Prawo cywilne, </w:t>
      </w:r>
      <w:r w:rsidR="00073066">
        <w:rPr>
          <w:rFonts w:ascii="Times New Roman" w:hAnsi="Times New Roman" w:cs="Times New Roman"/>
          <w:b/>
          <w:sz w:val="28"/>
          <w:szCs w:val="28"/>
        </w:rPr>
        <w:t>p</w:t>
      </w:r>
      <w:r>
        <w:rPr>
          <w:rFonts w:ascii="Times New Roman" w:hAnsi="Times New Roman" w:cs="Times New Roman"/>
          <w:b/>
          <w:sz w:val="28"/>
          <w:szCs w:val="28"/>
        </w:rPr>
        <w:t xml:space="preserve">rawo pracy i ubezpieczeń społecznych, </w:t>
      </w:r>
      <w:r w:rsidR="00073066">
        <w:rPr>
          <w:rFonts w:ascii="Times New Roman" w:hAnsi="Times New Roman" w:cs="Times New Roman"/>
          <w:b/>
          <w:sz w:val="28"/>
          <w:szCs w:val="28"/>
        </w:rPr>
        <w:t>p</w:t>
      </w:r>
      <w:r>
        <w:rPr>
          <w:rFonts w:ascii="Times New Roman" w:hAnsi="Times New Roman" w:cs="Times New Roman"/>
          <w:b/>
          <w:sz w:val="28"/>
          <w:szCs w:val="28"/>
        </w:rPr>
        <w:t xml:space="preserve">rawo spółek, </w:t>
      </w:r>
      <w:r w:rsidR="00073066">
        <w:rPr>
          <w:rFonts w:ascii="Times New Roman" w:hAnsi="Times New Roman" w:cs="Times New Roman"/>
          <w:b/>
          <w:sz w:val="28"/>
          <w:szCs w:val="28"/>
        </w:rPr>
        <w:t>p</w:t>
      </w:r>
      <w:r>
        <w:rPr>
          <w:rFonts w:ascii="Times New Roman" w:hAnsi="Times New Roman" w:cs="Times New Roman"/>
          <w:b/>
          <w:sz w:val="28"/>
          <w:szCs w:val="28"/>
        </w:rPr>
        <w:t xml:space="preserve">rawo upadłościowe, </w:t>
      </w:r>
    </w:p>
    <w:p w14:paraId="570D2A8A" w14:textId="06A98029" w:rsidR="00863BA3" w:rsidRDefault="00073066" w:rsidP="00863BA3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>
        <w:rPr>
          <w:rFonts w:ascii="Times New Roman" w:hAnsi="Times New Roman" w:cs="Times New Roman"/>
          <w:b/>
          <w:sz w:val="28"/>
          <w:szCs w:val="28"/>
        </w:rPr>
        <w:t>p</w:t>
      </w:r>
      <w:r w:rsidR="00863BA3">
        <w:rPr>
          <w:rFonts w:ascii="Times New Roman" w:hAnsi="Times New Roman" w:cs="Times New Roman"/>
          <w:b/>
          <w:sz w:val="28"/>
          <w:szCs w:val="28"/>
        </w:rPr>
        <w:t xml:space="preserve">rawo restrukturyzacyjne, </w:t>
      </w:r>
      <w:r>
        <w:rPr>
          <w:rFonts w:ascii="Times New Roman" w:hAnsi="Times New Roman" w:cs="Times New Roman"/>
          <w:b/>
          <w:sz w:val="28"/>
          <w:szCs w:val="28"/>
        </w:rPr>
        <w:t>p</w:t>
      </w:r>
      <w:bookmarkStart w:id="2" w:name="_GoBack"/>
      <w:bookmarkEnd w:id="2"/>
      <w:r w:rsidR="00863BA3">
        <w:rPr>
          <w:rFonts w:ascii="Times New Roman" w:hAnsi="Times New Roman" w:cs="Times New Roman"/>
          <w:b/>
          <w:sz w:val="28"/>
          <w:szCs w:val="28"/>
        </w:rPr>
        <w:t>rawo regulujące działalność gospodarczą</w:t>
      </w:r>
      <w:bookmarkEnd w:id="1"/>
      <w:r w:rsidR="00863BA3" w:rsidRPr="00BB476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 xml:space="preserve"> </w:t>
      </w:r>
    </w:p>
    <w:p w14:paraId="0721F0F9" w14:textId="2F25D09B" w:rsidR="00E23546" w:rsidRDefault="00E23546" w:rsidP="00863BA3">
      <w:pPr>
        <w:spacing w:after="0" w:line="240" w:lineRule="auto"/>
        <w:ind w:left="-357"/>
        <w:jc w:val="center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  <w:r w:rsidRPr="00BB476D"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  <w:t>(nazwa egzaminu.)</w:t>
      </w:r>
    </w:p>
    <w:p w14:paraId="47F841CD" w14:textId="77777777" w:rsidR="00863BA3" w:rsidRPr="00BB476D" w:rsidRDefault="00863BA3" w:rsidP="00863BA3">
      <w:pPr>
        <w:spacing w:after="0" w:line="240" w:lineRule="auto"/>
        <w:ind w:left="-357"/>
        <w:outlineLvl w:val="0"/>
        <w:rPr>
          <w:rFonts w:ascii="Times New Roman" w:eastAsia="Times New Roman" w:hAnsi="Times New Roman" w:cs="Times New Roman"/>
          <w:i/>
          <w:sz w:val="16"/>
          <w:szCs w:val="24"/>
          <w:lang w:eastAsia="pl-PL"/>
        </w:rPr>
      </w:pPr>
    </w:p>
    <w:tbl>
      <w:tblPr>
        <w:tblStyle w:val="Tabela-Siatka118"/>
        <w:tblW w:w="1502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3919"/>
        <w:gridCol w:w="3736"/>
        <w:gridCol w:w="3686"/>
        <w:gridCol w:w="3685"/>
      </w:tblGrid>
      <w:tr w:rsidR="00E23546" w:rsidRPr="00BB476D" w14:paraId="65AA8551" w14:textId="77777777" w:rsidTr="00863BA3">
        <w:trPr>
          <w:trHeight w:val="420"/>
          <w:tblHeader/>
        </w:trPr>
        <w:tc>
          <w:tcPr>
            <w:tcW w:w="3919" w:type="dxa"/>
            <w:vMerge w:val="restart"/>
            <w:shd w:val="clear" w:color="auto" w:fill="D4A7B0"/>
            <w:vAlign w:val="center"/>
          </w:tcPr>
          <w:p w14:paraId="3C264518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Zakres wymaganej wiedzy</w:t>
            </w:r>
          </w:p>
        </w:tc>
        <w:tc>
          <w:tcPr>
            <w:tcW w:w="11107" w:type="dxa"/>
            <w:gridSpan w:val="3"/>
            <w:shd w:val="clear" w:color="auto" w:fill="D4A7B0"/>
          </w:tcPr>
          <w:p w14:paraId="23356BE2" w14:textId="77777777" w:rsidR="00E23546" w:rsidRPr="00BB476D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Tematy znajdujące odzwierciedlenie w programach przedmiotu uczelnianego</w:t>
            </w:r>
          </w:p>
          <w:p w14:paraId="53787F7D" w14:textId="77777777" w:rsidR="00E23546" w:rsidRPr="00BB476D" w:rsidRDefault="00E23546" w:rsidP="005929A5">
            <w:pPr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 xml:space="preserve">Treść  w  odniesieniu do właściwego punktu zakresu wymaganej wiedzy </w:t>
            </w:r>
          </w:p>
          <w:p w14:paraId="50BFB5B3" w14:textId="77777777" w:rsidR="00E23546" w:rsidRPr="00BB476D" w:rsidRDefault="00E23546" w:rsidP="005929A5">
            <w:pPr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E23546" w:rsidRPr="00BB476D" w14:paraId="30355023" w14:textId="77777777" w:rsidTr="00863BA3">
        <w:trPr>
          <w:trHeight w:val="668"/>
          <w:tblHeader/>
        </w:trPr>
        <w:tc>
          <w:tcPr>
            <w:tcW w:w="3919" w:type="dxa"/>
            <w:vMerge/>
            <w:shd w:val="clear" w:color="auto" w:fill="D4A7B0"/>
            <w:vAlign w:val="center"/>
          </w:tcPr>
          <w:p w14:paraId="59C966D7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  <w:tc>
          <w:tcPr>
            <w:tcW w:w="3736" w:type="dxa"/>
            <w:shd w:val="clear" w:color="auto" w:fill="D4A7B0"/>
          </w:tcPr>
          <w:p w14:paraId="1E7B2DF5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69EE066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4813A56F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przedmiotu uczelnianego</w:t>
            </w:r>
          </w:p>
          <w:p w14:paraId="34BE813F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0B711346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20"/>
                <w:szCs w:val="16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  <w:r>
              <w:rPr>
                <w:rStyle w:val="Odwoanieprzypisudolnego"/>
                <w:rFonts w:ascii="Times New Roman" w:eastAsia="Calibri" w:hAnsi="Times New Roman" w:cs="Times New Roman"/>
                <w:sz w:val="20"/>
                <w:szCs w:val="20"/>
              </w:rPr>
              <w:footnoteReference w:id="1"/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,</w:t>
            </w:r>
            <w:r w:rsidRPr="00BB476D">
              <w:rPr>
                <w:rFonts w:ascii="Times New Roman" w:eastAsia="Calibri" w:hAnsi="Times New Roman" w:cs="Times New Roman"/>
                <w:sz w:val="20"/>
                <w:szCs w:val="20"/>
                <w:vertAlign w:val="superscript"/>
              </w:rPr>
              <w:footnoteReference w:id="2"/>
            </w:r>
          </w:p>
          <w:p w14:paraId="0BFD1F8D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</w:p>
        </w:tc>
        <w:tc>
          <w:tcPr>
            <w:tcW w:w="3686" w:type="dxa"/>
            <w:shd w:val="clear" w:color="auto" w:fill="D4A7B0"/>
          </w:tcPr>
          <w:p w14:paraId="08B023C4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6858CAE0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316BE7D1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2 przedmiotu uczelnianego</w:t>
            </w:r>
          </w:p>
          <w:p w14:paraId="13A8FABF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54A81F3E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  <w:tc>
          <w:tcPr>
            <w:tcW w:w="3685" w:type="dxa"/>
            <w:shd w:val="clear" w:color="auto" w:fill="D4A7B0"/>
          </w:tcPr>
          <w:p w14:paraId="50C36DA8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14:paraId="7452A197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……………………………….</w:t>
            </w:r>
          </w:p>
          <w:p w14:paraId="210E1CB6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Nazwa 3 przedmiotu uczelnianego</w:t>
            </w:r>
          </w:p>
          <w:p w14:paraId="35703986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Treść sylabusa/karty </w:t>
            </w:r>
          </w:p>
          <w:p w14:paraId="2D5BA77E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sz w:val="20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20"/>
                <w:szCs w:val="20"/>
              </w:rPr>
              <w:t>adekwatnie do zakresu wymaganej wiedzy ujętej w kolumnie 1</w:t>
            </w:r>
          </w:p>
        </w:tc>
      </w:tr>
      <w:tr w:rsidR="00E23546" w:rsidRPr="00BB476D" w14:paraId="7A06EF6B" w14:textId="77777777" w:rsidTr="00863BA3">
        <w:trPr>
          <w:trHeight w:val="243"/>
          <w:tblHeader/>
        </w:trPr>
        <w:tc>
          <w:tcPr>
            <w:tcW w:w="3919" w:type="dxa"/>
            <w:shd w:val="clear" w:color="auto" w:fill="D4A7B0"/>
            <w:vAlign w:val="center"/>
          </w:tcPr>
          <w:p w14:paraId="08500D82" w14:textId="77777777" w:rsidR="00E23546" w:rsidRPr="00BB476D" w:rsidRDefault="00E23546" w:rsidP="005929A5">
            <w:pPr>
              <w:jc w:val="center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736" w:type="dxa"/>
            <w:shd w:val="clear" w:color="auto" w:fill="D4A7B0"/>
          </w:tcPr>
          <w:p w14:paraId="0222EFF3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2</w:t>
            </w:r>
          </w:p>
        </w:tc>
        <w:tc>
          <w:tcPr>
            <w:tcW w:w="3686" w:type="dxa"/>
            <w:shd w:val="clear" w:color="auto" w:fill="D4A7B0"/>
          </w:tcPr>
          <w:p w14:paraId="115BE7D7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3</w:t>
            </w:r>
          </w:p>
        </w:tc>
        <w:tc>
          <w:tcPr>
            <w:tcW w:w="3685" w:type="dxa"/>
            <w:shd w:val="clear" w:color="auto" w:fill="D4A7B0"/>
          </w:tcPr>
          <w:p w14:paraId="0DD9DD2E" w14:textId="77777777" w:rsidR="00E23546" w:rsidRPr="00BB476D" w:rsidRDefault="00E23546" w:rsidP="005929A5">
            <w:pPr>
              <w:ind w:hanging="59"/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BB476D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4</w:t>
            </w:r>
          </w:p>
        </w:tc>
      </w:tr>
      <w:tr w:rsidR="00E23546" w:rsidRPr="00BB476D" w14:paraId="101CEFB3" w14:textId="77777777" w:rsidTr="00863BA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400"/>
        </w:trPr>
        <w:tc>
          <w:tcPr>
            <w:tcW w:w="3919" w:type="dxa"/>
          </w:tcPr>
          <w:p w14:paraId="771BE789" w14:textId="77777777" w:rsidR="00972A08" w:rsidRDefault="00972A08" w:rsidP="0015320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048E62CB" w14:textId="77777777" w:rsidR="00E23546" w:rsidRPr="003743C0" w:rsidRDefault="007F3230" w:rsidP="0015320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153203" w:rsidRPr="003743C0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952C58">
              <w:rPr>
                <w:rFonts w:ascii="Times New Roman" w:hAnsi="Times New Roman" w:cs="Times New Roman"/>
                <w:b/>
                <w:sz w:val="18"/>
                <w:szCs w:val="18"/>
              </w:rPr>
              <w:t>1.</w:t>
            </w:r>
            <w:r w:rsidR="00972A0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153203" w:rsidRPr="003743C0">
              <w:rPr>
                <w:rFonts w:ascii="Times New Roman" w:hAnsi="Times New Roman" w:cs="Times New Roman"/>
                <w:b/>
                <w:sz w:val="18"/>
                <w:szCs w:val="18"/>
              </w:rPr>
              <w:t>Podstawy prawa</w:t>
            </w:r>
          </w:p>
          <w:p w14:paraId="6570A823" w14:textId="77777777" w:rsidR="00153203" w:rsidRPr="003743C0" w:rsidRDefault="007F3230" w:rsidP="001532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52C5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53203" w:rsidRPr="003743C0">
              <w:rPr>
                <w:rFonts w:ascii="Times New Roman" w:hAnsi="Times New Roman" w:cs="Times New Roman"/>
                <w:sz w:val="18"/>
                <w:szCs w:val="18"/>
              </w:rPr>
              <w:t>1.1. Źródła prawa.</w:t>
            </w:r>
          </w:p>
          <w:p w14:paraId="2DEF2EDE" w14:textId="77777777" w:rsidR="00153203" w:rsidRPr="003743C0" w:rsidRDefault="007F3230" w:rsidP="001532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52C5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53203" w:rsidRPr="003743C0">
              <w:rPr>
                <w:rFonts w:ascii="Times New Roman" w:hAnsi="Times New Roman" w:cs="Times New Roman"/>
                <w:sz w:val="18"/>
                <w:szCs w:val="18"/>
              </w:rPr>
              <w:t xml:space="preserve">1.2. Systematyka prawa. </w:t>
            </w:r>
          </w:p>
          <w:p w14:paraId="4BE5C08E" w14:textId="77777777" w:rsidR="00153203" w:rsidRPr="003743C0" w:rsidRDefault="007F3230" w:rsidP="001532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52C5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53203" w:rsidRPr="003743C0">
              <w:rPr>
                <w:rFonts w:ascii="Times New Roman" w:hAnsi="Times New Roman" w:cs="Times New Roman"/>
                <w:sz w:val="18"/>
                <w:szCs w:val="18"/>
              </w:rPr>
              <w:t xml:space="preserve">1.3. Wykładnia prawa. </w:t>
            </w:r>
          </w:p>
          <w:p w14:paraId="4818F37C" w14:textId="77777777" w:rsidR="00153203" w:rsidRPr="003743C0" w:rsidRDefault="007F3230" w:rsidP="001532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52C5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53203" w:rsidRPr="003743C0">
              <w:rPr>
                <w:rFonts w:ascii="Times New Roman" w:hAnsi="Times New Roman" w:cs="Times New Roman"/>
                <w:sz w:val="18"/>
                <w:szCs w:val="18"/>
              </w:rPr>
              <w:t>1.4. Obowiązywanie prawa – promulgacja, wejście w życie, stosowanie, reguły kolizyjne.</w:t>
            </w:r>
          </w:p>
          <w:p w14:paraId="0041A51B" w14:textId="77777777" w:rsidR="00153203" w:rsidRPr="003743C0" w:rsidRDefault="007F3230" w:rsidP="001532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52C5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53203" w:rsidRPr="003743C0">
              <w:rPr>
                <w:rFonts w:ascii="Times New Roman" w:hAnsi="Times New Roman" w:cs="Times New Roman"/>
                <w:sz w:val="18"/>
                <w:szCs w:val="18"/>
              </w:rPr>
              <w:t>1.5. Norma prawna a przepis prawa.</w:t>
            </w:r>
          </w:p>
          <w:p w14:paraId="7167B41A" w14:textId="77777777" w:rsidR="00153203" w:rsidRDefault="007F3230" w:rsidP="001532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952C58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153203" w:rsidRPr="003743C0">
              <w:rPr>
                <w:rFonts w:ascii="Times New Roman" w:hAnsi="Times New Roman" w:cs="Times New Roman"/>
                <w:sz w:val="18"/>
                <w:szCs w:val="18"/>
              </w:rPr>
              <w:t>1.6. Pierwotne i wtórne prawo wspólnotowe.</w:t>
            </w:r>
          </w:p>
          <w:p w14:paraId="32754B99" w14:textId="77777777" w:rsidR="003743C0" w:rsidRDefault="003743C0" w:rsidP="001532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58E20213" w14:textId="77777777" w:rsidR="00972A08" w:rsidRDefault="00972A08" w:rsidP="003743C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71767668" w14:textId="77777777" w:rsidR="00972A08" w:rsidRDefault="00972A08" w:rsidP="003743C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14:paraId="68A95603" w14:textId="77777777" w:rsidR="00972A08" w:rsidRDefault="006A0784" w:rsidP="003743C0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</w:t>
            </w:r>
            <w:r w:rsidR="007F3230">
              <w:rPr>
                <w:rFonts w:ascii="Times New Roman" w:hAnsi="Times New Roman" w:cs="Times New Roman"/>
                <w:b/>
                <w:sz w:val="18"/>
                <w:szCs w:val="18"/>
              </w:rPr>
              <w:t>.</w:t>
            </w:r>
            <w:r w:rsidR="003743C0" w:rsidRPr="003743C0">
              <w:rPr>
                <w:rFonts w:ascii="Times New Roman" w:hAnsi="Times New Roman" w:cs="Times New Roman"/>
                <w:b/>
                <w:sz w:val="18"/>
                <w:szCs w:val="18"/>
              </w:rPr>
              <w:t>2.</w:t>
            </w:r>
            <w:r w:rsidR="00972A08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="003743C0" w:rsidRPr="003743C0">
              <w:rPr>
                <w:rFonts w:ascii="Times New Roman" w:hAnsi="Times New Roman" w:cs="Times New Roman"/>
                <w:b/>
                <w:sz w:val="18"/>
                <w:szCs w:val="18"/>
              </w:rPr>
              <w:t>Prawo cywilne</w:t>
            </w:r>
          </w:p>
          <w:p w14:paraId="43559006" w14:textId="77777777" w:rsidR="003743C0" w:rsidRPr="00D57E17" w:rsidRDefault="006A0784" w:rsidP="003743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="007F3230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r w:rsidR="003743C0" w:rsidRPr="00D57E17">
              <w:rPr>
                <w:rFonts w:ascii="Times New Roman" w:hAnsi="Times New Roman" w:cs="Times New Roman"/>
                <w:sz w:val="18"/>
                <w:szCs w:val="18"/>
              </w:rPr>
              <w:t>2.1. Podmioty prawa cywilnego, przedstawicielstwo, mienie, czynności prawne, terminy, przedawnienie roszczeń.</w:t>
            </w:r>
          </w:p>
          <w:p w14:paraId="44831557" w14:textId="77777777" w:rsidR="003743C0" w:rsidRPr="00D57E17" w:rsidRDefault="006A0784" w:rsidP="003743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3743C0" w:rsidRPr="00D57E17">
              <w:rPr>
                <w:rFonts w:ascii="Times New Roman" w:hAnsi="Times New Roman" w:cs="Times New Roman"/>
                <w:sz w:val="18"/>
                <w:szCs w:val="18"/>
              </w:rPr>
              <w:t>2.2. Własność i inne prawa rzeczowe (własność, użytkowanie wieczyste, prawa rzeczowe ograniczone, posiadanie).</w:t>
            </w:r>
          </w:p>
          <w:p w14:paraId="73D6784E" w14:textId="77777777" w:rsidR="003743C0" w:rsidRPr="00D57E17" w:rsidRDefault="006A0784" w:rsidP="003743C0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B06731">
              <w:rPr>
                <w:rFonts w:ascii="Times New Roman" w:hAnsi="Times New Roman" w:cs="Times New Roman"/>
                <w:sz w:val="18"/>
                <w:szCs w:val="18"/>
              </w:rPr>
              <w:t>2.3. Zobowiązania.</w:t>
            </w:r>
          </w:p>
          <w:p w14:paraId="05D2300A" w14:textId="77777777" w:rsidR="003743C0" w:rsidRDefault="006A0784" w:rsidP="0015320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3743C0" w:rsidRPr="00D57E17">
              <w:rPr>
                <w:rFonts w:ascii="Times New Roman" w:hAnsi="Times New Roman" w:cs="Times New Roman"/>
                <w:sz w:val="18"/>
                <w:szCs w:val="18"/>
              </w:rPr>
              <w:t>2.4</w:t>
            </w:r>
            <w:r w:rsidR="003743C0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3743C0" w:rsidRPr="00D57E17">
              <w:rPr>
                <w:rFonts w:ascii="Times New Roman" w:hAnsi="Times New Roman" w:cs="Times New Roman"/>
                <w:sz w:val="18"/>
                <w:szCs w:val="18"/>
              </w:rPr>
              <w:t>Naruszenia prawa.</w:t>
            </w:r>
          </w:p>
          <w:p w14:paraId="6B89B218" w14:textId="77777777" w:rsidR="00B06731" w:rsidRDefault="00B06731" w:rsidP="0015320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1C8220FB" w14:textId="77777777" w:rsidR="00B06731" w:rsidRDefault="007606A4" w:rsidP="0015320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  <w:r w:rsidR="00B06731"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  <w:r w:rsidR="00B06731"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Prawo pracy i ubezpieczeń społecznych</w:t>
            </w:r>
          </w:p>
          <w:p w14:paraId="47380424" w14:textId="77777777" w:rsidR="00204811" w:rsidRPr="00D57E17" w:rsidRDefault="007606A4" w:rsidP="002048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3.1. Podstawowe zasady prawa pracy.</w:t>
            </w:r>
          </w:p>
          <w:p w14:paraId="4B03B371" w14:textId="77777777" w:rsidR="00204811" w:rsidRPr="00D57E17" w:rsidRDefault="007606A4" w:rsidP="002048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3.2. Stosunek pracy.</w:t>
            </w:r>
          </w:p>
          <w:p w14:paraId="6807D223" w14:textId="77777777" w:rsidR="00204811" w:rsidRPr="00D57E17" w:rsidRDefault="007606A4" w:rsidP="002048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3.3.</w:t>
            </w:r>
            <w:r w:rsidR="00204811" w:rsidRPr="00D57E17">
              <w:rPr>
                <w:rFonts w:ascii="Times New Roman" w:hAnsi="Times New Roman" w:cs="Times New Roman"/>
              </w:rPr>
              <w:t xml:space="preserve"> 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Wynagrodzenie za pracę i inne świadczenia.</w:t>
            </w:r>
          </w:p>
          <w:p w14:paraId="0F156BA0" w14:textId="77777777" w:rsidR="00204811" w:rsidRPr="00D57E17" w:rsidRDefault="007606A4" w:rsidP="002048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3.4.</w:t>
            </w:r>
            <w:r w:rsidR="00204811" w:rsidRPr="00D57E17">
              <w:rPr>
                <w:rFonts w:ascii="Times New Roman" w:hAnsi="Times New Roman" w:cs="Times New Roman"/>
              </w:rPr>
              <w:t xml:space="preserve"> 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Obowiązki pracodawcy i pracownika.</w:t>
            </w:r>
          </w:p>
          <w:p w14:paraId="43CE839C" w14:textId="77777777" w:rsidR="00204811" w:rsidRPr="00D57E17" w:rsidRDefault="007606A4" w:rsidP="002048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3.5. Odpowiedzialność materialna pracowników.</w:t>
            </w:r>
          </w:p>
          <w:p w14:paraId="649BD122" w14:textId="77777777" w:rsidR="00204811" w:rsidRPr="00D57E17" w:rsidRDefault="007606A4" w:rsidP="002048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3.6.</w:t>
            </w:r>
            <w:r w:rsidR="00204811" w:rsidRPr="00D57E17">
              <w:rPr>
                <w:rFonts w:ascii="Times New Roman" w:hAnsi="Times New Roman" w:cs="Times New Roman"/>
              </w:rPr>
              <w:t xml:space="preserve"> 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Czas pracy.</w:t>
            </w:r>
          </w:p>
          <w:p w14:paraId="48B300E8" w14:textId="77777777" w:rsidR="00204811" w:rsidRPr="00D57E17" w:rsidRDefault="007606A4" w:rsidP="002048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3.7. Urlopy pracownicze.</w:t>
            </w:r>
          </w:p>
          <w:p w14:paraId="1636B247" w14:textId="77777777" w:rsidR="00204811" w:rsidRPr="00D57E17" w:rsidRDefault="007606A4" w:rsidP="002048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3.8. Uprawnienia pracowników związane z rodzicielstwem.</w:t>
            </w:r>
          </w:p>
          <w:p w14:paraId="4B621A25" w14:textId="77777777" w:rsidR="00204811" w:rsidRPr="00D57E17" w:rsidRDefault="007606A4" w:rsidP="002048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3.9. Zatrudnianie młodocianych.</w:t>
            </w:r>
          </w:p>
          <w:p w14:paraId="0D91DACE" w14:textId="77777777" w:rsidR="00204811" w:rsidRPr="00D57E17" w:rsidRDefault="007606A4" w:rsidP="002048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3.10. Bezpieczeństwo i higiena pracy.</w:t>
            </w:r>
          </w:p>
          <w:p w14:paraId="2F83D0C0" w14:textId="77777777" w:rsidR="00204811" w:rsidRPr="00D57E17" w:rsidRDefault="007606A4" w:rsidP="0020481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204811" w:rsidRPr="00D57E17">
              <w:rPr>
                <w:rFonts w:ascii="Times New Roman" w:hAnsi="Times New Roman" w:cs="Times New Roman"/>
                <w:sz w:val="18"/>
                <w:szCs w:val="18"/>
              </w:rPr>
              <w:t>3.11. Rozpatrywanie sporów o roszczenia ze stosunku pracy.</w:t>
            </w:r>
          </w:p>
          <w:p w14:paraId="6EEC2D44" w14:textId="77777777" w:rsidR="009A5FAE" w:rsidRPr="00D57E17" w:rsidRDefault="007606A4" w:rsidP="009A5F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9A5FAE" w:rsidRPr="00D57E17">
              <w:rPr>
                <w:rFonts w:ascii="Times New Roman" w:hAnsi="Times New Roman" w:cs="Times New Roman"/>
                <w:sz w:val="18"/>
                <w:szCs w:val="18"/>
              </w:rPr>
              <w:t>3.12. Odpowiedzialność za wykroczenia przeciwko prawom pracownika.</w:t>
            </w:r>
          </w:p>
          <w:p w14:paraId="75916989" w14:textId="77777777" w:rsidR="009A5FAE" w:rsidRPr="00D57E17" w:rsidRDefault="007606A4" w:rsidP="009A5F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9A5FAE" w:rsidRPr="00D57E17">
              <w:rPr>
                <w:rFonts w:ascii="Times New Roman" w:hAnsi="Times New Roman" w:cs="Times New Roman"/>
                <w:sz w:val="18"/>
                <w:szCs w:val="18"/>
              </w:rPr>
              <w:t>3.13.</w:t>
            </w:r>
            <w:r w:rsidR="009A5FAE" w:rsidRPr="00D57E17">
              <w:rPr>
                <w:rFonts w:ascii="Times New Roman" w:hAnsi="Times New Roman" w:cs="Times New Roman"/>
              </w:rPr>
              <w:t xml:space="preserve"> </w:t>
            </w:r>
            <w:r w:rsidR="009A5FAE" w:rsidRPr="00D57E17">
              <w:rPr>
                <w:rFonts w:ascii="Times New Roman" w:hAnsi="Times New Roman" w:cs="Times New Roman"/>
                <w:sz w:val="18"/>
                <w:szCs w:val="18"/>
              </w:rPr>
              <w:t>Przedawnienie roszczeń w prawie pracy.</w:t>
            </w:r>
          </w:p>
          <w:p w14:paraId="668A92E5" w14:textId="77777777" w:rsidR="009A5FAE" w:rsidRPr="00D57E17" w:rsidRDefault="007606A4" w:rsidP="009A5F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9A5FAE" w:rsidRPr="00D57E17">
              <w:rPr>
                <w:rFonts w:ascii="Times New Roman" w:hAnsi="Times New Roman" w:cs="Times New Roman"/>
                <w:sz w:val="18"/>
                <w:szCs w:val="18"/>
              </w:rPr>
              <w:t>3.14. Zasady podlegania ubezpieczeniom społecznym.</w:t>
            </w:r>
          </w:p>
          <w:p w14:paraId="6D324B35" w14:textId="77777777" w:rsidR="009A5FAE" w:rsidRPr="00D57E17" w:rsidRDefault="007606A4" w:rsidP="009A5F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9A5FAE" w:rsidRPr="00D57E17">
              <w:rPr>
                <w:rFonts w:ascii="Times New Roman" w:hAnsi="Times New Roman" w:cs="Times New Roman"/>
                <w:sz w:val="18"/>
                <w:szCs w:val="18"/>
              </w:rPr>
              <w:t>3.15. Zasady ustalania składek na ubezpieczenia społeczne.</w:t>
            </w:r>
          </w:p>
          <w:p w14:paraId="3D7C1F4C" w14:textId="77777777" w:rsidR="009A5FAE" w:rsidRPr="00D57E17" w:rsidRDefault="007606A4" w:rsidP="009A5F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3.</w:t>
            </w:r>
            <w:r w:rsidR="009A5FAE" w:rsidRPr="00D57E17">
              <w:rPr>
                <w:rFonts w:ascii="Times New Roman" w:hAnsi="Times New Roman" w:cs="Times New Roman"/>
                <w:sz w:val="18"/>
                <w:szCs w:val="18"/>
              </w:rPr>
              <w:t>3.16. Zgłoszenia do ubezpieczenia, prowadzenie kont i rejestrów oraz zasady rozliczania składek i zasiłków.</w:t>
            </w:r>
          </w:p>
          <w:p w14:paraId="5DC987F1" w14:textId="77777777" w:rsidR="009A5FAE" w:rsidRPr="00D57E17" w:rsidRDefault="007606A4" w:rsidP="009A5F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9A5FAE" w:rsidRPr="00D57E17">
              <w:rPr>
                <w:rFonts w:ascii="Times New Roman" w:hAnsi="Times New Roman" w:cs="Times New Roman"/>
                <w:sz w:val="18"/>
                <w:szCs w:val="18"/>
              </w:rPr>
              <w:t>3.17. Obowiązki ubezpieczonych.</w:t>
            </w:r>
          </w:p>
          <w:p w14:paraId="17710085" w14:textId="77777777" w:rsidR="009A5FAE" w:rsidRPr="00D57E17" w:rsidRDefault="0069799D" w:rsidP="009A5F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9A5FAE" w:rsidRPr="00D57E17">
              <w:rPr>
                <w:rFonts w:ascii="Times New Roman" w:hAnsi="Times New Roman" w:cs="Times New Roman"/>
                <w:sz w:val="18"/>
                <w:szCs w:val="18"/>
              </w:rPr>
              <w:t>3.18. Zwrot nienależnie pobranych świadczeń oraz odsetki za opóźnienie w wypłacie świadczeń.</w:t>
            </w:r>
          </w:p>
          <w:p w14:paraId="652DAB3B" w14:textId="77777777" w:rsidR="009A5FAE" w:rsidRPr="00D57E17" w:rsidRDefault="0069799D" w:rsidP="009A5F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9A5FAE" w:rsidRPr="00D57E17">
              <w:rPr>
                <w:rFonts w:ascii="Times New Roman" w:hAnsi="Times New Roman" w:cs="Times New Roman"/>
                <w:sz w:val="18"/>
                <w:szCs w:val="18"/>
              </w:rPr>
              <w:t>3.19. Kontrola wykonywania zadań z zakresu ubezpieczeń społecznych.</w:t>
            </w:r>
          </w:p>
          <w:p w14:paraId="240EEA20" w14:textId="77777777" w:rsidR="00EE796A" w:rsidRDefault="0069799D" w:rsidP="009A5FA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9A5FAE" w:rsidRPr="00D57E17">
              <w:rPr>
                <w:rFonts w:ascii="Times New Roman" w:hAnsi="Times New Roman" w:cs="Times New Roman"/>
                <w:sz w:val="18"/>
                <w:szCs w:val="18"/>
              </w:rPr>
              <w:t>3.20. Naruszenia prawa.</w:t>
            </w:r>
          </w:p>
          <w:p w14:paraId="6B38927B" w14:textId="77777777" w:rsidR="00533908" w:rsidRDefault="00533908" w:rsidP="009A5FA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458761C" w14:textId="77777777" w:rsidR="00533908" w:rsidRDefault="0069799D" w:rsidP="009A5FAE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  <w:r w:rsidR="00533908"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4. Prawo spółek</w:t>
            </w:r>
          </w:p>
          <w:p w14:paraId="00B81313" w14:textId="77777777" w:rsidR="0068151C" w:rsidRPr="00D57E17" w:rsidRDefault="0069799D" w:rsidP="006815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68151C" w:rsidRPr="00D57E17">
              <w:rPr>
                <w:rFonts w:ascii="Times New Roman" w:hAnsi="Times New Roman" w:cs="Times New Roman"/>
                <w:sz w:val="18"/>
                <w:szCs w:val="18"/>
              </w:rPr>
              <w:t>4.1. Przepisy ogólne, spółki osobowe i kapitałowe.</w:t>
            </w:r>
          </w:p>
          <w:p w14:paraId="30C07FF8" w14:textId="77777777" w:rsidR="0068151C" w:rsidRPr="00D57E17" w:rsidRDefault="0069799D" w:rsidP="006815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68151C" w:rsidRPr="00D57E17">
              <w:rPr>
                <w:rFonts w:ascii="Times New Roman" w:hAnsi="Times New Roman" w:cs="Times New Roman"/>
                <w:sz w:val="18"/>
                <w:szCs w:val="18"/>
              </w:rPr>
              <w:t>4.2. Powstawanie spółek.</w:t>
            </w:r>
          </w:p>
          <w:p w14:paraId="63FA0C2F" w14:textId="77777777" w:rsidR="0068151C" w:rsidRPr="00D57E17" w:rsidRDefault="0069799D" w:rsidP="006815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68151C" w:rsidRPr="00D57E17">
              <w:rPr>
                <w:rFonts w:ascii="Times New Roman" w:hAnsi="Times New Roman" w:cs="Times New Roman"/>
                <w:sz w:val="18"/>
                <w:szCs w:val="18"/>
              </w:rPr>
              <w:t>4.3. Organy spółek. Prawa i obowiązki wspólników, akcjonariuszy.</w:t>
            </w:r>
          </w:p>
          <w:p w14:paraId="0AB24A2C" w14:textId="77777777" w:rsidR="0068151C" w:rsidRPr="00D57E17" w:rsidRDefault="0069799D" w:rsidP="006815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68151C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4.4. Rozwiązanie i likwidacja spółek. </w:t>
            </w:r>
          </w:p>
          <w:p w14:paraId="74D422BE" w14:textId="77777777" w:rsidR="0068151C" w:rsidRPr="00D57E17" w:rsidRDefault="0069799D" w:rsidP="006815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68151C" w:rsidRPr="00D57E17">
              <w:rPr>
                <w:rFonts w:ascii="Times New Roman" w:hAnsi="Times New Roman" w:cs="Times New Roman"/>
                <w:sz w:val="18"/>
                <w:szCs w:val="18"/>
              </w:rPr>
              <w:t>4.5. Łączenie, podział i przekształcanie spółek.</w:t>
            </w:r>
          </w:p>
          <w:p w14:paraId="0945CC09" w14:textId="77777777" w:rsidR="0068151C" w:rsidRDefault="0069799D" w:rsidP="006815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68151C" w:rsidRPr="00D57E17">
              <w:rPr>
                <w:rFonts w:ascii="Times New Roman" w:hAnsi="Times New Roman" w:cs="Times New Roman"/>
                <w:sz w:val="18"/>
                <w:szCs w:val="18"/>
              </w:rPr>
              <w:t>4.6. Naruszenia prawa.</w:t>
            </w:r>
          </w:p>
          <w:p w14:paraId="55B1363B" w14:textId="77777777" w:rsidR="0026435B" w:rsidRDefault="0026435B" w:rsidP="0068151C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0A7A61C9" w14:textId="77777777" w:rsidR="0026435B" w:rsidRDefault="00A32223" w:rsidP="0068151C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  <w:r w:rsidR="0026435B">
              <w:rPr>
                <w:rFonts w:ascii="Times New Roman" w:hAnsi="Times New Roman" w:cs="Times New Roman"/>
                <w:b/>
                <w:sz w:val="18"/>
                <w:szCs w:val="18"/>
              </w:rPr>
              <w:t>5.</w:t>
            </w:r>
            <w:r w:rsidR="0026435B"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Prawo upadłościowe i prawo restrukturyzacyjne</w:t>
            </w:r>
          </w:p>
          <w:p w14:paraId="14060229" w14:textId="77777777" w:rsidR="00B27016" w:rsidRDefault="00A32223" w:rsidP="00B270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>5.1. Przepisy ogólne o postępowaniu upadł</w:t>
            </w:r>
            <w:r w:rsidR="00B27016">
              <w:rPr>
                <w:rFonts w:ascii="Times New Roman" w:hAnsi="Times New Roman" w:cs="Times New Roman"/>
                <w:sz w:val="18"/>
                <w:szCs w:val="18"/>
              </w:rPr>
              <w:t>ościowym i restrukturyzacyjnym.</w:t>
            </w:r>
          </w:p>
          <w:p w14:paraId="458DA3D4" w14:textId="77777777" w:rsidR="00B27016" w:rsidRPr="00D57E17" w:rsidRDefault="00A32223" w:rsidP="00B270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>5.2. Postępowanie w przedmiocie ogłoszenia upadłości.</w:t>
            </w:r>
          </w:p>
          <w:p w14:paraId="65D2DA0C" w14:textId="77777777" w:rsidR="00B27016" w:rsidRPr="00D57E17" w:rsidRDefault="00A32223" w:rsidP="00B270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>5.3. Skutki ogłoszenia upadłości.</w:t>
            </w:r>
          </w:p>
          <w:p w14:paraId="6503FCFC" w14:textId="77777777" w:rsidR="00B27016" w:rsidRPr="00D57E17" w:rsidRDefault="00A32223" w:rsidP="00B270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>5.4. Postępowanie upadłościowe prowadzone po ogłoszeniu upadłości.</w:t>
            </w:r>
          </w:p>
          <w:p w14:paraId="650D4EB3" w14:textId="77777777" w:rsidR="00B27016" w:rsidRPr="00D57E17" w:rsidRDefault="00A32223" w:rsidP="00B270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>5.5. Zgłoszenie i ustalenie wierzytelności.</w:t>
            </w:r>
          </w:p>
          <w:p w14:paraId="4A910C3B" w14:textId="77777777" w:rsidR="00B27016" w:rsidRPr="00D57E17" w:rsidRDefault="00A32223" w:rsidP="00B270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>5.6. Układ w upadłości.</w:t>
            </w:r>
          </w:p>
          <w:p w14:paraId="398F2028" w14:textId="77777777" w:rsidR="00B27016" w:rsidRPr="00D57E17" w:rsidRDefault="00A32223" w:rsidP="00B270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>5.7. Likwidacja masy upadłości.</w:t>
            </w:r>
          </w:p>
          <w:p w14:paraId="42D16783" w14:textId="77777777" w:rsidR="00B27016" w:rsidRPr="00D57E17" w:rsidRDefault="00A32223" w:rsidP="00B270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3.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>5.8. Podział funduszów masy upadłości i sum uzyskanych ze zbycia rzeczy i praw obciążonych rzeczowo.</w:t>
            </w:r>
          </w:p>
          <w:p w14:paraId="767CE347" w14:textId="77777777" w:rsidR="00B27016" w:rsidRPr="00D57E17" w:rsidRDefault="00A32223" w:rsidP="00B270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>5.9. Zakończenie i umorzenie postępowania upadłościowego oraz ich skutki.</w:t>
            </w:r>
          </w:p>
          <w:p w14:paraId="30282111" w14:textId="77777777" w:rsidR="00B27016" w:rsidRPr="00D57E17" w:rsidRDefault="00A32223" w:rsidP="00B270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 xml:space="preserve">5.10. Przepisy </w:t>
            </w:r>
            <w:r w:rsidR="00E250B8">
              <w:rPr>
                <w:rFonts w:ascii="Times New Roman" w:hAnsi="Times New Roman" w:cs="Times New Roman"/>
                <w:sz w:val="18"/>
                <w:szCs w:val="18"/>
              </w:rPr>
              <w:t>z zakresu międzynarodowego postę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>powania upadłościowego.</w:t>
            </w:r>
          </w:p>
          <w:p w14:paraId="0E894FD6" w14:textId="77777777" w:rsidR="00B27016" w:rsidRPr="00D57E17" w:rsidRDefault="00A32223" w:rsidP="00B270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E250B8">
              <w:rPr>
                <w:rFonts w:ascii="Times New Roman" w:hAnsi="Times New Roman" w:cs="Times New Roman"/>
                <w:sz w:val="18"/>
                <w:szCs w:val="18"/>
              </w:rPr>
              <w:t>5.11. Odrębne postę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>powania upadłościowe.</w:t>
            </w:r>
          </w:p>
          <w:p w14:paraId="44C8833B" w14:textId="77777777" w:rsidR="00B27016" w:rsidRPr="00D57E17" w:rsidRDefault="00A32223" w:rsidP="00B2701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>5.12 Prze</w:t>
            </w:r>
            <w:r w:rsidR="00CD0371">
              <w:rPr>
                <w:rFonts w:ascii="Times New Roman" w:hAnsi="Times New Roman" w:cs="Times New Roman"/>
                <w:sz w:val="18"/>
                <w:szCs w:val="18"/>
              </w:rPr>
              <w:t>pisy ogólne i szczególne o postę</w:t>
            </w:r>
            <w:r w:rsidR="00B27016" w:rsidRPr="00D57E17">
              <w:rPr>
                <w:rFonts w:ascii="Times New Roman" w:hAnsi="Times New Roman" w:cs="Times New Roman"/>
                <w:sz w:val="18"/>
                <w:szCs w:val="18"/>
              </w:rPr>
              <w:t>powaniach restrukturyzacyjnych i ich skutkach.</w:t>
            </w:r>
          </w:p>
          <w:p w14:paraId="5B5F5B01" w14:textId="77777777" w:rsidR="00D52CCF" w:rsidRPr="00D57E17" w:rsidRDefault="00A32223" w:rsidP="00D52C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D52CCF" w:rsidRPr="00D57E17">
              <w:rPr>
                <w:rFonts w:ascii="Times New Roman" w:hAnsi="Times New Roman" w:cs="Times New Roman"/>
                <w:sz w:val="18"/>
                <w:szCs w:val="18"/>
              </w:rPr>
              <w:t>5.13. Przepisy szczególne o postępowaniach restrukturyzacyjnych i ich skutkach.</w:t>
            </w:r>
          </w:p>
          <w:p w14:paraId="743316C4" w14:textId="77777777" w:rsidR="00D52CCF" w:rsidRPr="00D57E17" w:rsidRDefault="00A32223" w:rsidP="00D52C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D52CCF" w:rsidRPr="00D57E17">
              <w:rPr>
                <w:rFonts w:ascii="Times New Roman" w:hAnsi="Times New Roman" w:cs="Times New Roman"/>
                <w:sz w:val="18"/>
                <w:szCs w:val="18"/>
              </w:rPr>
              <w:t>5.14. Przepisy z zakresu międzynarodowego postępowania restrukturyzacyjnego.</w:t>
            </w:r>
          </w:p>
          <w:p w14:paraId="66FD6280" w14:textId="77777777" w:rsidR="00D52CCF" w:rsidRPr="00D57E17" w:rsidRDefault="00A32223" w:rsidP="00D52C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D52CCF" w:rsidRPr="00D57E17">
              <w:rPr>
                <w:rFonts w:ascii="Times New Roman" w:hAnsi="Times New Roman" w:cs="Times New Roman"/>
                <w:sz w:val="18"/>
                <w:szCs w:val="18"/>
              </w:rPr>
              <w:t>5.15. Odrębne postępowania restrukturyzacyjne.</w:t>
            </w:r>
          </w:p>
          <w:p w14:paraId="21B8A7BC" w14:textId="77777777" w:rsidR="00B27016" w:rsidRDefault="00A32223" w:rsidP="00D52CC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D52CCF" w:rsidRPr="00D57E17">
              <w:rPr>
                <w:rFonts w:ascii="Times New Roman" w:hAnsi="Times New Roman" w:cs="Times New Roman"/>
                <w:sz w:val="18"/>
                <w:szCs w:val="18"/>
              </w:rPr>
              <w:t>5.16. Naruszenia prawa.</w:t>
            </w:r>
          </w:p>
          <w:p w14:paraId="4407ABF7" w14:textId="77777777" w:rsidR="00321A30" w:rsidRDefault="00321A30" w:rsidP="00D52CC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14:paraId="755D064F" w14:textId="77777777" w:rsidR="004A09AF" w:rsidRDefault="00A32223" w:rsidP="00D52CCF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3.</w:t>
            </w:r>
            <w:r w:rsidR="004A09AF" w:rsidRPr="00D57E17">
              <w:rPr>
                <w:rFonts w:ascii="Times New Roman" w:hAnsi="Times New Roman" w:cs="Times New Roman"/>
                <w:b/>
                <w:sz w:val="18"/>
                <w:szCs w:val="18"/>
              </w:rPr>
              <w:t>6. Prawo regulujące działalność gospodarczą</w:t>
            </w:r>
          </w:p>
          <w:p w14:paraId="0CC7EDE7" w14:textId="77777777" w:rsidR="00AA0279" w:rsidRPr="00D57E17" w:rsidRDefault="00A32223" w:rsidP="00AA0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AA0279" w:rsidRPr="00D57E17">
              <w:rPr>
                <w:rFonts w:ascii="Times New Roman" w:hAnsi="Times New Roman" w:cs="Times New Roman"/>
                <w:sz w:val="18"/>
                <w:szCs w:val="18"/>
              </w:rPr>
              <w:t>6.1. Warunki prowadzenia działalności gospodarczej (m.in. zasada równości przedsiębiorców wobec prawa, zasada rozliczeń bezgotówkowych, koncesjonowanie niektórych rodzajów działalności gospodarczej lub wydawanie zezwoleń).</w:t>
            </w:r>
          </w:p>
          <w:p w14:paraId="6CFE6B4A" w14:textId="77777777" w:rsidR="00AA0279" w:rsidRPr="00D57E17" w:rsidRDefault="00A32223" w:rsidP="00AA0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AA0279" w:rsidRPr="00D57E17">
              <w:rPr>
                <w:rFonts w:ascii="Times New Roman" w:hAnsi="Times New Roman" w:cs="Times New Roman"/>
                <w:sz w:val="18"/>
                <w:szCs w:val="18"/>
              </w:rPr>
              <w:t>6.2. Powstawanie, funkcjonowanie, łączenie, przekształcanie, przejęcie i likwidacja</w:t>
            </w:r>
          </w:p>
          <w:p w14:paraId="7766F4CF" w14:textId="77777777" w:rsidR="00AA0279" w:rsidRPr="00D57E17" w:rsidRDefault="00AA0279" w:rsidP="00AA0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57E17">
              <w:rPr>
                <w:rFonts w:ascii="Times New Roman" w:hAnsi="Times New Roman" w:cs="Times New Roman"/>
                <w:sz w:val="18"/>
                <w:szCs w:val="18"/>
              </w:rPr>
              <w:t>przedsiębiorstw osób fizycznych, przedsiębiorstw państwowych, spółdzielni, banków i innych instytucji finansowych, zakładów ubezpieczeń.</w:t>
            </w:r>
          </w:p>
          <w:p w14:paraId="43CA9E03" w14:textId="77777777" w:rsidR="00AA0279" w:rsidRPr="00D57E17" w:rsidRDefault="00A32223" w:rsidP="00AA0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AA0279" w:rsidRPr="00D57E17">
              <w:rPr>
                <w:rFonts w:ascii="Times New Roman" w:hAnsi="Times New Roman" w:cs="Times New Roman"/>
                <w:sz w:val="18"/>
                <w:szCs w:val="18"/>
              </w:rPr>
              <w:t>6.3. Ochrona środowiska w działalności gospodarczej.</w:t>
            </w:r>
          </w:p>
          <w:p w14:paraId="4F1CB9D2" w14:textId="77777777" w:rsidR="00AA0279" w:rsidRPr="00D57E17" w:rsidRDefault="00A32223" w:rsidP="00AA0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3.</w:t>
            </w:r>
            <w:r w:rsidR="00AA0279" w:rsidRPr="00D57E17">
              <w:rPr>
                <w:rFonts w:ascii="Times New Roman" w:hAnsi="Times New Roman" w:cs="Times New Roman"/>
                <w:sz w:val="18"/>
                <w:szCs w:val="18"/>
              </w:rPr>
              <w:t>6.4. Podstawy prawne działalności gospodarczej organizacji społecznych, fundacji i stowarzyszeń oraz przedstawicielstw osób zagranicznych.</w:t>
            </w:r>
          </w:p>
          <w:p w14:paraId="1C119A3D" w14:textId="77777777" w:rsidR="00AA0279" w:rsidRPr="00D57E17" w:rsidRDefault="00A32223" w:rsidP="00AA0279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AA0279" w:rsidRPr="00D57E17">
              <w:rPr>
                <w:rFonts w:ascii="Times New Roman" w:hAnsi="Times New Roman" w:cs="Times New Roman"/>
                <w:sz w:val="18"/>
                <w:szCs w:val="18"/>
              </w:rPr>
              <w:t>6.5. Prawo dewizowe.</w:t>
            </w:r>
          </w:p>
          <w:p w14:paraId="6A56CDAE" w14:textId="77777777" w:rsidR="00AA0279" w:rsidRPr="003743C0" w:rsidRDefault="00A32223" w:rsidP="00AA0279">
            <w:pPr>
              <w:rPr>
                <w:b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3.</w:t>
            </w:r>
            <w:r w:rsidR="00AA0279" w:rsidRPr="00D57E17">
              <w:rPr>
                <w:rFonts w:ascii="Times New Roman" w:hAnsi="Times New Roman" w:cs="Times New Roman"/>
                <w:sz w:val="18"/>
                <w:szCs w:val="18"/>
              </w:rPr>
              <w:t>6.6. Naruszenia prawa.</w:t>
            </w:r>
          </w:p>
        </w:tc>
        <w:tc>
          <w:tcPr>
            <w:tcW w:w="3736" w:type="dxa"/>
          </w:tcPr>
          <w:p w14:paraId="1F1D7CE8" w14:textId="77777777" w:rsidR="00E23546" w:rsidRPr="00BB476D" w:rsidRDefault="00E23546" w:rsidP="005929A5"/>
        </w:tc>
        <w:tc>
          <w:tcPr>
            <w:tcW w:w="3686" w:type="dxa"/>
          </w:tcPr>
          <w:p w14:paraId="494D8AF3" w14:textId="77777777" w:rsidR="00E23546" w:rsidRPr="00BB476D" w:rsidRDefault="00E23546" w:rsidP="005929A5"/>
        </w:tc>
        <w:tc>
          <w:tcPr>
            <w:tcW w:w="3685" w:type="dxa"/>
          </w:tcPr>
          <w:p w14:paraId="3ED86EBC" w14:textId="77777777" w:rsidR="00E23546" w:rsidRPr="00BB476D" w:rsidRDefault="00E23546" w:rsidP="005929A5"/>
        </w:tc>
      </w:tr>
    </w:tbl>
    <w:p w14:paraId="412471DB" w14:textId="77777777" w:rsidR="00E5717C" w:rsidRDefault="00E5717C" w:rsidP="00AE566E"/>
    <w:sectPr w:rsidR="00E5717C" w:rsidSect="00B650B5">
      <w:footerReference w:type="default" r:id="rId8"/>
      <w:footnotePr>
        <w:numRestart w:val="eachPage"/>
      </w:footnotePr>
      <w:pgSz w:w="16838" w:h="11906" w:orient="landscape"/>
      <w:pgMar w:top="851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E3E7E06" w14:textId="77777777" w:rsidR="0045351B" w:rsidRDefault="0045351B" w:rsidP="00E23546">
      <w:pPr>
        <w:spacing w:after="0" w:line="240" w:lineRule="auto"/>
      </w:pPr>
      <w:r>
        <w:separator/>
      </w:r>
    </w:p>
  </w:endnote>
  <w:endnote w:type="continuationSeparator" w:id="0">
    <w:p w14:paraId="2163544C" w14:textId="77777777" w:rsidR="0045351B" w:rsidRDefault="0045351B" w:rsidP="00E235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88400426"/>
      <w:docPartObj>
        <w:docPartGallery w:val="Page Numbers (Bottom of Page)"/>
        <w:docPartUnique/>
      </w:docPartObj>
    </w:sdtPr>
    <w:sdtEndPr/>
    <w:sdtContent>
      <w:p w14:paraId="3EDC656C" w14:textId="77777777" w:rsidR="00E23546" w:rsidRDefault="00E2354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73066">
          <w:rPr>
            <w:noProof/>
          </w:rPr>
          <w:t>2</w:t>
        </w:r>
        <w:r>
          <w:fldChar w:fldCharType="end"/>
        </w:r>
      </w:p>
    </w:sdtContent>
  </w:sdt>
  <w:p w14:paraId="282BB92D" w14:textId="77777777" w:rsidR="00E23546" w:rsidRDefault="00E2354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30B181" w14:textId="77777777" w:rsidR="0045351B" w:rsidRDefault="0045351B" w:rsidP="00E23546">
      <w:pPr>
        <w:spacing w:after="0" w:line="240" w:lineRule="auto"/>
      </w:pPr>
      <w:r>
        <w:separator/>
      </w:r>
    </w:p>
  </w:footnote>
  <w:footnote w:type="continuationSeparator" w:id="0">
    <w:p w14:paraId="03049506" w14:textId="77777777" w:rsidR="0045351B" w:rsidRDefault="0045351B" w:rsidP="00E23546">
      <w:pPr>
        <w:spacing w:after="0" w:line="240" w:lineRule="auto"/>
      </w:pPr>
      <w:r>
        <w:continuationSeparator/>
      </w:r>
    </w:p>
  </w:footnote>
  <w:footnote w:id="1">
    <w:p w14:paraId="627BF389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B43A9A">
        <w:rPr>
          <w:sz w:val="18"/>
          <w:szCs w:val="18"/>
        </w:rPr>
        <w:t>Wpisuje się treści wynikające z sylabusa/karty, które odpowiadają zakresowi wiedzy wymaganemu przez Komisję Egzaminacyjną.</w:t>
      </w:r>
    </w:p>
  </w:footnote>
  <w:footnote w:id="2">
    <w:p w14:paraId="483AC4C8" w14:textId="77777777" w:rsidR="00E23546" w:rsidRDefault="00E23546" w:rsidP="00E23546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854369">
        <w:rPr>
          <w:sz w:val="18"/>
          <w:szCs w:val="18"/>
        </w:rPr>
        <w:t>W przypadku wskazania większej (niż 3)  liczby przedmiotów składających się na egzamin objęty postępowaniem kwalifikacyjnym należy dołączyć i wypełnić kolejne kolumny matrycy.</w:t>
      </w:r>
    </w:p>
    <w:p w14:paraId="119C09B8" w14:textId="77777777" w:rsidR="00E23546" w:rsidRDefault="00E23546" w:rsidP="00E23546">
      <w:pPr>
        <w:pStyle w:val="Tekstprzypisudolneg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65CE2"/>
    <w:multiLevelType w:val="hybridMultilevel"/>
    <w:tmpl w:val="D6F643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0C51CC"/>
    <w:multiLevelType w:val="hybridMultilevel"/>
    <w:tmpl w:val="804097C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914A72"/>
    <w:multiLevelType w:val="hybridMultilevel"/>
    <w:tmpl w:val="9C9A5C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484212"/>
    <w:multiLevelType w:val="hybridMultilevel"/>
    <w:tmpl w:val="E2C8D556"/>
    <w:lvl w:ilvl="0" w:tplc="04150011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4" w15:restartNumberingAfterBreak="0">
    <w:nsid w:val="35ED152D"/>
    <w:multiLevelType w:val="hybridMultilevel"/>
    <w:tmpl w:val="16CAAAB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7045FCD"/>
    <w:multiLevelType w:val="hybridMultilevel"/>
    <w:tmpl w:val="64F6B808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DF644C"/>
    <w:multiLevelType w:val="hybridMultilevel"/>
    <w:tmpl w:val="7862B988"/>
    <w:lvl w:ilvl="0" w:tplc="22F2FA14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942" w:hanging="360"/>
      </w:pPr>
    </w:lvl>
    <w:lvl w:ilvl="2" w:tplc="0415001B" w:tentative="1">
      <w:start w:val="1"/>
      <w:numFmt w:val="lowerRoman"/>
      <w:lvlText w:val="%3."/>
      <w:lvlJc w:val="right"/>
      <w:pPr>
        <w:ind w:left="2662" w:hanging="180"/>
      </w:pPr>
    </w:lvl>
    <w:lvl w:ilvl="3" w:tplc="0415000F" w:tentative="1">
      <w:start w:val="1"/>
      <w:numFmt w:val="decimal"/>
      <w:lvlText w:val="%4."/>
      <w:lvlJc w:val="left"/>
      <w:pPr>
        <w:ind w:left="3382" w:hanging="360"/>
      </w:pPr>
    </w:lvl>
    <w:lvl w:ilvl="4" w:tplc="04150019" w:tentative="1">
      <w:start w:val="1"/>
      <w:numFmt w:val="lowerLetter"/>
      <w:lvlText w:val="%5."/>
      <w:lvlJc w:val="left"/>
      <w:pPr>
        <w:ind w:left="4102" w:hanging="360"/>
      </w:pPr>
    </w:lvl>
    <w:lvl w:ilvl="5" w:tplc="0415001B" w:tentative="1">
      <w:start w:val="1"/>
      <w:numFmt w:val="lowerRoman"/>
      <w:lvlText w:val="%6."/>
      <w:lvlJc w:val="right"/>
      <w:pPr>
        <w:ind w:left="4822" w:hanging="180"/>
      </w:pPr>
    </w:lvl>
    <w:lvl w:ilvl="6" w:tplc="0415000F" w:tentative="1">
      <w:start w:val="1"/>
      <w:numFmt w:val="decimal"/>
      <w:lvlText w:val="%7."/>
      <w:lvlJc w:val="left"/>
      <w:pPr>
        <w:ind w:left="5542" w:hanging="360"/>
      </w:pPr>
    </w:lvl>
    <w:lvl w:ilvl="7" w:tplc="04150019" w:tentative="1">
      <w:start w:val="1"/>
      <w:numFmt w:val="lowerLetter"/>
      <w:lvlText w:val="%8."/>
      <w:lvlJc w:val="left"/>
      <w:pPr>
        <w:ind w:left="6262" w:hanging="360"/>
      </w:pPr>
    </w:lvl>
    <w:lvl w:ilvl="8" w:tplc="0415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7" w15:restartNumberingAfterBreak="0">
    <w:nsid w:val="50371988"/>
    <w:multiLevelType w:val="hybridMultilevel"/>
    <w:tmpl w:val="D6F643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DC30223"/>
    <w:multiLevelType w:val="hybridMultilevel"/>
    <w:tmpl w:val="621AE1C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4"/>
  </w:num>
  <w:num w:numId="3">
    <w:abstractNumId w:val="1"/>
  </w:num>
  <w:num w:numId="4">
    <w:abstractNumId w:val="6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7"/>
  </w:num>
  <w:num w:numId="8">
    <w:abstractNumId w:val="5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12289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546"/>
    <w:rsid w:val="00073066"/>
    <w:rsid w:val="000825DE"/>
    <w:rsid w:val="00093F84"/>
    <w:rsid w:val="00132E6B"/>
    <w:rsid w:val="00153203"/>
    <w:rsid w:val="00160FFF"/>
    <w:rsid w:val="00167CE4"/>
    <w:rsid w:val="00204811"/>
    <w:rsid w:val="0026435B"/>
    <w:rsid w:val="00321A30"/>
    <w:rsid w:val="003743C0"/>
    <w:rsid w:val="0045351B"/>
    <w:rsid w:val="00473D76"/>
    <w:rsid w:val="004A09AF"/>
    <w:rsid w:val="004D1EF7"/>
    <w:rsid w:val="00533908"/>
    <w:rsid w:val="00663D59"/>
    <w:rsid w:val="0068151C"/>
    <w:rsid w:val="0069799D"/>
    <w:rsid w:val="006A0784"/>
    <w:rsid w:val="00723577"/>
    <w:rsid w:val="007606A4"/>
    <w:rsid w:val="007E5C58"/>
    <w:rsid w:val="007F3230"/>
    <w:rsid w:val="00863BA3"/>
    <w:rsid w:val="00952C58"/>
    <w:rsid w:val="00972A08"/>
    <w:rsid w:val="0098522D"/>
    <w:rsid w:val="009A5FAE"/>
    <w:rsid w:val="00A32223"/>
    <w:rsid w:val="00AA0279"/>
    <w:rsid w:val="00AE566E"/>
    <w:rsid w:val="00B06731"/>
    <w:rsid w:val="00B27016"/>
    <w:rsid w:val="00B650B5"/>
    <w:rsid w:val="00B82481"/>
    <w:rsid w:val="00BE4AD8"/>
    <w:rsid w:val="00C6508D"/>
    <w:rsid w:val="00CA773D"/>
    <w:rsid w:val="00CD0371"/>
    <w:rsid w:val="00CE3A89"/>
    <w:rsid w:val="00D0540A"/>
    <w:rsid w:val="00D52CCF"/>
    <w:rsid w:val="00DE52F4"/>
    <w:rsid w:val="00E23546"/>
    <w:rsid w:val="00E250B8"/>
    <w:rsid w:val="00E5717C"/>
    <w:rsid w:val="00EE796A"/>
    <w:rsid w:val="00F13807"/>
    <w:rsid w:val="00F26BF6"/>
    <w:rsid w:val="00F71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6FCB0CCC"/>
  <w15:chartTrackingRefBased/>
  <w15:docId w15:val="{26CA9ED8-1394-4E86-BCDD-FC6A537F4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23546"/>
  </w:style>
  <w:style w:type="paragraph" w:styleId="Nagwek1">
    <w:name w:val="heading 1"/>
    <w:basedOn w:val="Normalny"/>
    <w:link w:val="Nagwek1Znak"/>
    <w:uiPriority w:val="1"/>
    <w:qFormat/>
    <w:rsid w:val="00E23546"/>
    <w:pPr>
      <w:widowControl w:val="0"/>
      <w:spacing w:after="0" w:line="240" w:lineRule="auto"/>
      <w:ind w:left="1433"/>
      <w:outlineLvl w:val="0"/>
    </w:pPr>
    <w:rPr>
      <w:rFonts w:ascii="Times New Roman" w:eastAsia="Times New Roman" w:hAnsi="Times New Roman"/>
      <w:b/>
      <w:bCs/>
      <w:sz w:val="26"/>
      <w:szCs w:val="26"/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1"/>
    <w:rsid w:val="00E23546"/>
    <w:rPr>
      <w:rFonts w:ascii="Times New Roman" w:eastAsia="Times New Roman" w:hAnsi="Times New Roman"/>
      <w:b/>
      <w:bCs/>
      <w:sz w:val="26"/>
      <w:szCs w:val="26"/>
      <w:lang w:val="en-US"/>
    </w:rPr>
  </w:style>
  <w:style w:type="table" w:customStyle="1" w:styleId="Tabela-Siatka1">
    <w:name w:val="Tabela - Siatka1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atka">
    <w:name w:val="Table Grid"/>
    <w:basedOn w:val="Standardowy"/>
    <w:uiPriority w:val="39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E23546"/>
    <w:pPr>
      <w:spacing w:line="276" w:lineRule="auto"/>
      <w:ind w:left="720"/>
      <w:contextualSpacing/>
    </w:pPr>
    <w:rPr>
      <w:rFonts w:eastAsiaTheme="minorEastAsia"/>
      <w:sz w:val="21"/>
      <w:szCs w:val="21"/>
    </w:rPr>
  </w:style>
  <w:style w:type="character" w:customStyle="1" w:styleId="AkapitzlistZnak">
    <w:name w:val="Akapit z listą Znak"/>
    <w:link w:val="Akapitzlist"/>
    <w:uiPriority w:val="34"/>
    <w:qFormat/>
    <w:locked/>
    <w:rsid w:val="00E23546"/>
    <w:rPr>
      <w:rFonts w:eastAsiaTheme="minorEastAsia"/>
      <w:sz w:val="21"/>
      <w:szCs w:val="21"/>
    </w:rPr>
  </w:style>
  <w:style w:type="paragraph" w:styleId="Tekstprzypisudolnego">
    <w:name w:val="footnote text"/>
    <w:basedOn w:val="Normalny"/>
    <w:link w:val="TekstprzypisudolnegoZnak"/>
    <w:uiPriority w:val="99"/>
    <w:rsid w:val="00E235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23546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E23546"/>
    <w:rPr>
      <w:vertAlign w:val="superscript"/>
    </w:rPr>
  </w:style>
  <w:style w:type="paragraph" w:styleId="Stopka">
    <w:name w:val="footer"/>
    <w:basedOn w:val="Normalny"/>
    <w:link w:val="StopkaZnak"/>
    <w:uiPriority w:val="99"/>
    <w:unhideWhenUsed/>
    <w:rsid w:val="00E235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3546"/>
  </w:style>
  <w:style w:type="table" w:customStyle="1" w:styleId="Tabela-Siatka118">
    <w:name w:val="Tabela - Siatka118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19">
    <w:name w:val="Tabela - Siatka119"/>
    <w:basedOn w:val="Standardowy"/>
    <w:next w:val="Tabela-Siatka"/>
    <w:rsid w:val="00E235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53203"/>
    <w:rPr>
      <w:rFonts w:ascii="Segoe UI" w:hAnsi="Segoe UI" w:cs="Segoe UI"/>
      <w:sz w:val="18"/>
      <w:szCs w:val="1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53203"/>
    <w:pPr>
      <w:spacing w:after="0" w:line="240" w:lineRule="auto"/>
      <w:ind w:hanging="357"/>
    </w:pPr>
    <w:rPr>
      <w:rFonts w:ascii="Segoe UI" w:hAnsi="Segoe UI" w:cs="Segoe UI"/>
      <w:sz w:val="18"/>
      <w:szCs w:val="18"/>
    </w:rPr>
  </w:style>
  <w:style w:type="character" w:customStyle="1" w:styleId="TekstdymkaZnak1">
    <w:name w:val="Tekst dymka Znak1"/>
    <w:basedOn w:val="Domylnaczcionkaakapitu"/>
    <w:uiPriority w:val="99"/>
    <w:semiHidden/>
    <w:rsid w:val="00153203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863BA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63BA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703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402ECE-B32E-4292-8CA6-D3A589676B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730</Words>
  <Characters>4381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Sztuczka</dc:creator>
  <cp:keywords/>
  <dc:description/>
  <cp:lastModifiedBy>jlabecka</cp:lastModifiedBy>
  <cp:revision>6</cp:revision>
  <cp:lastPrinted>2022-10-17T06:32:00Z</cp:lastPrinted>
  <dcterms:created xsi:type="dcterms:W3CDTF">2022-10-21T12:48:00Z</dcterms:created>
  <dcterms:modified xsi:type="dcterms:W3CDTF">2022-10-24T12:54:00Z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FCATEGORY">
    <vt:lpwstr>InformacjePrzeznaczoneWylacznieDoUzytkuWewnetrznego</vt:lpwstr>
  </property>
  <property fmtid="{D5CDD505-2E9C-101B-9397-08002B2CF9AE}" pid="3" name="MFClassifiedBy">
    <vt:lpwstr>MF\GMUY;Góźdź Sylwia</vt:lpwstr>
  </property>
  <property fmtid="{D5CDD505-2E9C-101B-9397-08002B2CF9AE}" pid="4" name="MFClassificationDate">
    <vt:lpwstr>2022-10-16T20:25:59.1281449+02:00</vt:lpwstr>
  </property>
  <property fmtid="{D5CDD505-2E9C-101B-9397-08002B2CF9AE}" pid="5" name="MFClassifiedBySID">
    <vt:lpwstr>MF\S-1-5-21-1525952054-1005573771-2909822258-290790</vt:lpwstr>
  </property>
  <property fmtid="{D5CDD505-2E9C-101B-9397-08002B2CF9AE}" pid="6" name="MFGRNItemId">
    <vt:lpwstr>GRN-be48f558-4758-432a-a48d-6624b609010a</vt:lpwstr>
  </property>
  <property fmtid="{D5CDD505-2E9C-101B-9397-08002B2CF9AE}" pid="7" name="MFHash">
    <vt:lpwstr>XQK/5+UvakJiqhL6eJ/ldTx350S9J7VYnHyiLyHkNyo=</vt:lpwstr>
  </property>
  <property fmtid="{D5CDD505-2E9C-101B-9397-08002B2CF9AE}" pid="8" name="DLPManualFileClassification">
    <vt:lpwstr>{5fdfc941-3fcf-4a5b-87be-4848800d39d0}</vt:lpwstr>
  </property>
  <property fmtid="{D5CDD505-2E9C-101B-9397-08002B2CF9AE}" pid="9" name="MFRefresh">
    <vt:lpwstr>False</vt:lpwstr>
  </property>
</Properties>
</file>